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NOVTAU distributor cooperation pack</w:t>
      </w:r>
    </w:p>
    <w:p>
      <w:pPr/>
      <w:r>
        <w:t>Opening assortment • Sample evaluation • First order • Replenishment</w:t>
      </w:r>
    </w:p>
    <w:p>
      <w:pPr/>
      <w:r>
        <w:t>NOVTAU manufactures 3D printing filament for its own brand and private-label brands. For distributors, the starting point is a NOVTAU assortment that fits your customers and sales channel. Use this pack to put the proposed range, evaluation questions and first-order details into one conversation.</w:t>
      </w:r>
    </w:p>
    <w:p>
      <w:pPr>
        <w:pStyle w:val="Heading2"/>
        <w:pageBreakBefore w:val="0"/>
      </w:pPr>
      <w:r>
        <w:t>Choose the opening range</w:t>
      </w:r>
    </w:p>
    <w:p>
      <w:pPr/>
      <w:r>
        <w:t>These catalog materials offer starting points for discussion. Select the exact grade and assess it for your customers' printers and applications.</w:t>
      </w:r>
    </w:p>
    <w:tbl>
      <w:tblPr>
        <w:tblW w:type="auto" w:w="0"/>
        <w:tblLayout w:type="fixed"/>
        <w:tblLook w:firstColumn="1" w:firstRow="1" w:lastColumn="0" w:lastRow="0" w:noHBand="0" w:noVBand="1" w:val="04A0"/>
      </w:tblPr>
      <w:tblGrid>
        <w:gridCol w:w="1613"/>
        <w:gridCol w:w="3672"/>
        <w:gridCol w:w="4795"/>
      </w:tblGrid>
      <w:tr>
        <w:trPr>
          <w:cantSplit/>
          <w:tblHeader/>
        </w:trPr>
        <w:tc>
          <w:tcPr>
            <w:tcW w:type="dxa" w:w="1613"/>
            <w:tcMar>
              <w:top w:w="65" w:type="dxa"/>
              <w:left w:w="65" w:type="dxa"/>
              <w:bottom w:w="65" w:type="dxa"/>
              <w:right w:w="65" w:type="dxa"/>
            </w:tcMar>
            <w:shd w:fill="E8EFEB"/>
          </w:tcPr>
          <w:p>
            <w:pPr>
              <w:spacing w:after="60" w:before="60"/>
            </w:pPr>
            <w:r>
              <w:rPr>
                <w:b/>
                <w:sz w:val="20"/>
              </w:rPr>
              <w:t>Material</w:t>
            </w:r>
          </w:p>
        </w:tc>
        <w:tc>
          <w:tcPr>
            <w:tcW w:type="dxa" w:w="3672"/>
            <w:tcMar>
              <w:top w:w="65" w:type="dxa"/>
              <w:left w:w="65" w:type="dxa"/>
              <w:bottom w:w="65" w:type="dxa"/>
              <w:right w:w="65" w:type="dxa"/>
            </w:tcMar>
            <w:shd w:fill="E8EFEB"/>
          </w:tcPr>
          <w:p>
            <w:pPr>
              <w:spacing w:after="60" w:before="60"/>
            </w:pPr>
            <w:r>
              <w:rPr>
                <w:b/>
                <w:sz w:val="20"/>
              </w:rPr>
              <w:t>Customer need to explore</w:t>
            </w:r>
          </w:p>
        </w:tc>
        <w:tc>
          <w:tcPr>
            <w:tcW w:type="dxa" w:w="4795"/>
            <w:tcMar>
              <w:top w:w="65" w:type="dxa"/>
              <w:left w:w="65" w:type="dxa"/>
              <w:bottom w:w="65" w:type="dxa"/>
              <w:right w:w="65" w:type="dxa"/>
            </w:tcMar>
            <w:shd w:fill="E8EFEB"/>
          </w:tcPr>
          <w:p>
            <w:pPr>
              <w:spacing w:after="60" w:before="60"/>
            </w:pPr>
            <w:r>
              <w:rPr>
                <w:b/>
                <w:sz w:val="20"/>
              </w:rPr>
              <w:t>Question for evaluation</w:t>
            </w:r>
          </w:p>
        </w:tc>
      </w:tr>
      <w:tr>
        <w:trPr>
          <w:cantSplit/>
        </w:trPr>
        <w:tc>
          <w:tcPr>
            <w:tcW w:type="dxa" w:w="1613"/>
            <w:tcMar>
              <w:top w:w="65" w:type="dxa"/>
              <w:left w:w="65" w:type="dxa"/>
              <w:bottom w:w="65" w:type="dxa"/>
              <w:right w:w="65" w:type="dxa"/>
            </w:tcMar>
          </w:tcPr>
          <w:p>
            <w:pPr>
              <w:spacing w:after="60" w:before="60"/>
            </w:pPr>
            <w:r>
              <w:rPr>
                <w:b w:val="0"/>
                <w:sz w:val="20"/>
              </w:rPr>
              <w:t>PLA Basic</w:t>
            </w:r>
          </w:p>
        </w:tc>
        <w:tc>
          <w:tcPr>
            <w:tcW w:type="dxa" w:w="3672"/>
            <w:tcMar>
              <w:top w:w="65" w:type="dxa"/>
              <w:left w:w="65" w:type="dxa"/>
              <w:bottom w:w="65" w:type="dxa"/>
              <w:right w:w="65" w:type="dxa"/>
            </w:tcMar>
          </w:tcPr>
          <w:p>
            <w:pPr>
              <w:spacing w:after="60" w:before="60"/>
            </w:pPr>
            <w:r>
              <w:rPr>
                <w:b w:val="0"/>
                <w:sz w:val="20"/>
              </w:rPr>
              <w:t>Everyday models and general printing</w:t>
            </w:r>
          </w:p>
        </w:tc>
        <w:tc>
          <w:tcPr>
            <w:tcW w:type="dxa" w:w="4795"/>
            <w:tcMar>
              <w:top w:w="65" w:type="dxa"/>
              <w:left w:w="65" w:type="dxa"/>
              <w:bottom w:w="65" w:type="dxa"/>
              <w:right w:w="65" w:type="dxa"/>
            </w:tcMar>
          </w:tcPr>
          <w:p>
            <w:pPr>
              <w:spacing w:after="60" w:before="60"/>
            </w:pPr>
            <w:r>
              <w:rPr>
                <w:b w:val="0"/>
                <w:sz w:val="20"/>
              </w:rPr>
              <w:t>Does the color, surface finish and part fit meet your customers' expectations?</w:t>
            </w:r>
          </w:p>
        </w:tc>
      </w:tr>
      <w:tr>
        <w:trPr>
          <w:cantSplit/>
        </w:trPr>
        <w:tc>
          <w:tcPr>
            <w:tcW w:type="dxa" w:w="1613"/>
            <w:tcMar>
              <w:top w:w="65" w:type="dxa"/>
              <w:left w:w="65" w:type="dxa"/>
              <w:bottom w:w="65" w:type="dxa"/>
              <w:right w:w="65" w:type="dxa"/>
            </w:tcMar>
          </w:tcPr>
          <w:p>
            <w:pPr>
              <w:spacing w:after="60" w:before="60"/>
            </w:pPr>
            <w:r>
              <w:rPr>
                <w:b w:val="0"/>
                <w:sz w:val="20"/>
              </w:rPr>
              <w:t>PETG Basic</w:t>
            </w:r>
          </w:p>
        </w:tc>
        <w:tc>
          <w:tcPr>
            <w:tcW w:type="dxa" w:w="3672"/>
            <w:tcMar>
              <w:top w:w="65" w:type="dxa"/>
              <w:left w:w="65" w:type="dxa"/>
              <w:bottom w:w="65" w:type="dxa"/>
              <w:right w:w="65" w:type="dxa"/>
            </w:tcMar>
          </w:tcPr>
          <w:p>
            <w:pPr>
              <w:spacing w:after="60" w:before="60"/>
            </w:pPr>
            <w:r>
              <w:rPr>
                <w:b w:val="0"/>
                <w:sz w:val="20"/>
              </w:rPr>
              <w:t>Functional parts</w:t>
            </w:r>
          </w:p>
        </w:tc>
        <w:tc>
          <w:tcPr>
            <w:tcW w:type="dxa" w:w="4795"/>
            <w:tcMar>
              <w:top w:w="65" w:type="dxa"/>
              <w:left w:w="65" w:type="dxa"/>
              <w:bottom w:w="65" w:type="dxa"/>
              <w:right w:w="65" w:type="dxa"/>
            </w:tcMar>
          </w:tcPr>
          <w:p>
            <w:pPr>
              <w:spacing w:after="60" w:before="60"/>
            </w:pPr>
            <w:r>
              <w:rPr>
                <w:b w:val="0"/>
                <w:sz w:val="20"/>
              </w:rPr>
              <w:t>What service conditions and printer setup must the selected grade suit?</w:t>
            </w:r>
          </w:p>
        </w:tc>
      </w:tr>
      <w:tr>
        <w:trPr>
          <w:cantSplit/>
        </w:trPr>
        <w:tc>
          <w:tcPr>
            <w:tcW w:type="dxa" w:w="1613"/>
            <w:tcMar>
              <w:top w:w="65" w:type="dxa"/>
              <w:left w:w="65" w:type="dxa"/>
              <w:bottom w:w="65" w:type="dxa"/>
              <w:right w:w="65" w:type="dxa"/>
            </w:tcMar>
          </w:tcPr>
          <w:p>
            <w:pPr>
              <w:spacing w:after="60" w:before="60"/>
            </w:pPr>
            <w:r>
              <w:rPr>
                <w:b w:val="0"/>
                <w:sz w:val="20"/>
              </w:rPr>
              <w:t>PLA Silk+</w:t>
            </w:r>
          </w:p>
        </w:tc>
        <w:tc>
          <w:tcPr>
            <w:tcW w:type="dxa" w:w="3672"/>
            <w:tcMar>
              <w:top w:w="65" w:type="dxa"/>
              <w:left w:w="65" w:type="dxa"/>
              <w:bottom w:w="65" w:type="dxa"/>
              <w:right w:w="65" w:type="dxa"/>
            </w:tcMar>
          </w:tcPr>
          <w:p>
            <w:pPr>
              <w:spacing w:after="60" w:before="60"/>
            </w:pPr>
            <w:r>
              <w:rPr>
                <w:b w:val="0"/>
                <w:sz w:val="20"/>
              </w:rPr>
              <w:t>Decorative prints</w:t>
            </w:r>
          </w:p>
        </w:tc>
        <w:tc>
          <w:tcPr>
            <w:tcW w:type="dxa" w:w="4795"/>
            <w:tcMar>
              <w:top w:w="65" w:type="dxa"/>
              <w:left w:w="65" w:type="dxa"/>
              <w:bottom w:w="65" w:type="dxa"/>
              <w:right w:w="65" w:type="dxa"/>
            </w:tcMar>
          </w:tcPr>
          <w:p>
            <w:pPr>
              <w:spacing w:after="60" w:before="60"/>
            </w:pPr>
            <w:r>
              <w:rPr>
                <w:b w:val="0"/>
                <w:sz w:val="20"/>
              </w:rPr>
              <w:t>How does the finish look on the curved and flat surfaces your customers print?</w:t>
            </w:r>
          </w:p>
        </w:tc>
      </w:tr>
    </w:tbl>
    <w:p>
      <w:pPr>
        <w:spacing w:after="20"/>
      </w:pPr>
    </w:p>
    <w:p>
      <w:pPr/>
      <w:r>
        <w:t xml:space="preserve">Browse the </w:t>
      </w:r>
      <w:hyperlink r:id="rId11">
        <w:r>
          <w:rPr>
            <w:color w:val="00552E"/>
          </w:rPr>
          <w:t>NOVTAU catalog</w:t>
        </w:r>
      </w:hyperlink>
      <w:r>
        <w:t xml:space="preserve"> for other material choices. Catalog names and color references help define an inquiry; the final assortment and supply formats are agreed for your order.</w:t>
      </w:r>
    </w:p>
    <w:p>
      <w:pPr>
        <w:pStyle w:val="Heading2"/>
        <w:pageBreakBefore w:val="0"/>
      </w:pPr>
      <w:r>
        <w:t>Put each product on its own line</w:t>
      </w:r>
    </w:p>
    <w:p>
      <w:pPr/>
      <w:r>
        <w:t>Copy a line for each material and main color. Keep additional color references in the notes.</w:t>
      </w:r>
    </w:p>
    <w:tbl>
      <w:tblPr>
        <w:tblW w:type="auto" w:w="0"/>
        <w:tblLayout w:type="fixed"/>
        <w:tblLook w:firstColumn="1" w:firstRow="1" w:lastColumn="0" w:lastRow="0" w:noHBand="0" w:noVBand="1" w:val="04A0"/>
      </w:tblPr>
      <w:tblGrid>
        <w:gridCol w:w="1872"/>
        <w:gridCol w:w="1656"/>
        <w:gridCol w:w="1584"/>
        <w:gridCol w:w="3024"/>
        <w:gridCol w:w="1944"/>
      </w:tblGrid>
      <w:tr>
        <w:trPr>
          <w:cantSplit/>
          <w:tblHeader/>
        </w:trPr>
        <w:tc>
          <w:tcPr>
            <w:tcW w:type="dxa" w:w="1872"/>
            <w:tcMar>
              <w:top w:w="65" w:type="dxa"/>
              <w:left w:w="65" w:type="dxa"/>
              <w:bottom w:w="65" w:type="dxa"/>
              <w:right w:w="65" w:type="dxa"/>
            </w:tcMar>
            <w:shd w:fill="E8EFEB"/>
          </w:tcPr>
          <w:p>
            <w:pPr>
              <w:spacing w:after="60" w:before="60"/>
            </w:pPr>
            <w:r>
              <w:rPr>
                <w:b/>
                <w:sz w:val="20"/>
              </w:rPr>
              <w:t>Material and grade</w:t>
            </w:r>
          </w:p>
        </w:tc>
        <w:tc>
          <w:tcPr>
            <w:tcW w:type="dxa" w:w="1656"/>
            <w:tcMar>
              <w:top w:w="65" w:type="dxa"/>
              <w:left w:w="65" w:type="dxa"/>
              <w:bottom w:w="65" w:type="dxa"/>
              <w:right w:w="65" w:type="dxa"/>
            </w:tcMar>
            <w:shd w:fill="E8EFEB"/>
          </w:tcPr>
          <w:p>
            <w:pPr>
              <w:spacing w:after="60" w:before="60"/>
            </w:pPr>
            <w:r>
              <w:rPr>
                <w:b/>
                <w:sz w:val="20"/>
              </w:rPr>
              <w:t>Main color reference</w:t>
            </w:r>
          </w:p>
        </w:tc>
        <w:tc>
          <w:tcPr>
            <w:tcW w:type="dxa" w:w="1584"/>
            <w:tcMar>
              <w:top w:w="65" w:type="dxa"/>
              <w:left w:w="65" w:type="dxa"/>
              <w:bottom w:w="65" w:type="dxa"/>
              <w:right w:w="65" w:type="dxa"/>
            </w:tcMar>
            <w:shd w:fill="E8EFEB"/>
          </w:tcPr>
          <w:p>
            <w:pPr>
              <w:spacing w:after="60" w:before="60"/>
            </w:pPr>
            <w:r>
              <w:rPr>
                <w:b/>
                <w:sz w:val="20"/>
              </w:rPr>
              <w:t>Quantity and unit</w:t>
            </w:r>
          </w:p>
        </w:tc>
        <w:tc>
          <w:tcPr>
            <w:tcW w:type="dxa" w:w="3024"/>
            <w:tcMar>
              <w:top w:w="65" w:type="dxa"/>
              <w:left w:w="65" w:type="dxa"/>
              <w:bottom w:w="65" w:type="dxa"/>
              <w:right w:w="65" w:type="dxa"/>
            </w:tcMar>
            <w:shd w:fill="E8EFEB"/>
          </w:tcPr>
          <w:p>
            <w:pPr>
              <w:spacing w:after="60" w:before="60"/>
            </w:pPr>
            <w:r>
              <w:rPr>
                <w:b/>
                <w:sz w:val="20"/>
              </w:rPr>
              <w:t>Spool and NOVTAU packaging requirements</w:t>
            </w:r>
          </w:p>
        </w:tc>
        <w:tc>
          <w:tcPr>
            <w:tcW w:type="dxa" w:w="1944"/>
            <w:tcMar>
              <w:top w:w="65" w:type="dxa"/>
              <w:left w:w="65" w:type="dxa"/>
              <w:bottom w:w="65" w:type="dxa"/>
              <w:right w:w="65" w:type="dxa"/>
            </w:tcMar>
            <w:shd w:fill="E8EFEB"/>
          </w:tcPr>
          <w:p>
            <w:pPr>
              <w:spacing w:after="60" w:before="60"/>
            </w:pPr>
            <w:r>
              <w:rPr>
                <w:b/>
                <w:sz w:val="20"/>
              </w:rPr>
              <w:t>Sample objective</w:t>
            </w:r>
          </w:p>
        </w:tc>
      </w:tr>
      <w:tr>
        <w:trPr>
          <w:cantSplit/>
        </w:trPr>
        <w:tc>
          <w:tcPr>
            <w:tcW w:type="dxa" w:w="1872"/>
            <w:tcMar>
              <w:top w:w="65" w:type="dxa"/>
              <w:left w:w="65" w:type="dxa"/>
              <w:bottom w:w="65" w:type="dxa"/>
              <w:right w:w="65" w:type="dxa"/>
            </w:tcMar>
          </w:tcPr>
          <w:p>
            <w:pPr>
              <w:spacing w:after="60" w:before="60"/>
            </w:pPr>
            <w:r>
              <w:rPr>
                <w:b w:val="0"/>
                <w:sz w:val="20"/>
              </w:rPr>
              <w:t>PLA Basic, grade to confirm</w:t>
            </w:r>
          </w:p>
        </w:tc>
        <w:tc>
          <w:tcPr>
            <w:tcW w:type="dxa" w:w="1656"/>
            <w:tcMar>
              <w:top w:w="65" w:type="dxa"/>
              <w:left w:w="65" w:type="dxa"/>
              <w:bottom w:w="65" w:type="dxa"/>
              <w:right w:w="65" w:type="dxa"/>
            </w:tcMar>
          </w:tcPr>
          <w:p>
            <w:pPr>
              <w:spacing w:after="60" w:before="60"/>
            </w:pPr>
            <w:r>
              <w:rPr>
                <w:b w:val="0"/>
                <w:sz w:val="20"/>
              </w:rPr>
              <w:t>To select</w:t>
            </w:r>
          </w:p>
        </w:tc>
        <w:tc>
          <w:tcPr>
            <w:tcW w:type="dxa" w:w="1584"/>
            <w:tcMar>
              <w:top w:w="65" w:type="dxa"/>
              <w:left w:w="65" w:type="dxa"/>
              <w:bottom w:w="65" w:type="dxa"/>
              <w:right w:w="65" w:type="dxa"/>
            </w:tcMar>
          </w:tcPr>
          <w:p>
            <w:pPr>
              <w:spacing w:after="60" w:before="60"/>
            </w:pPr>
            <w:r>
              <w:rPr>
                <w:b w:val="0"/>
                <w:sz w:val="20"/>
              </w:rPr>
              <w:t>To discuss, kg or spools</w:t>
            </w:r>
          </w:p>
        </w:tc>
        <w:tc>
          <w:tcPr>
            <w:tcW w:type="dxa" w:w="3024"/>
            <w:tcMar>
              <w:top w:w="65" w:type="dxa"/>
              <w:left w:w="65" w:type="dxa"/>
              <w:bottom w:w="65" w:type="dxa"/>
              <w:right w:w="65" w:type="dxa"/>
            </w:tcMar>
          </w:tcPr>
          <w:p>
            <w:pPr>
              <w:spacing w:after="60" w:before="60"/>
            </w:pPr>
            <w:r>
              <w:rPr>
                <w:b w:val="0"/>
                <w:sz w:val="20"/>
              </w:rPr>
              <w:t>To confirm for the order</w:t>
            </w:r>
          </w:p>
        </w:tc>
        <w:tc>
          <w:tcPr>
            <w:tcW w:type="dxa" w:w="1944"/>
            <w:tcMar>
              <w:top w:w="65" w:type="dxa"/>
              <w:left w:w="65" w:type="dxa"/>
              <w:bottom w:w="65" w:type="dxa"/>
              <w:right w:w="65" w:type="dxa"/>
            </w:tcMar>
          </w:tcPr>
          <w:p>
            <w:pPr>
              <w:spacing w:after="60" w:before="60"/>
            </w:pPr>
            <w:r>
              <w:rPr>
                <w:b w:val="0"/>
                <w:sz w:val="20"/>
              </w:rPr>
              <w:t>Surface finish and part fit</w:t>
            </w:r>
          </w:p>
        </w:tc>
      </w:tr>
      <w:tr>
        <w:trPr>
          <w:cantSplit/>
        </w:trPr>
        <w:tc>
          <w:tcPr>
            <w:tcW w:type="dxa" w:w="1872"/>
            <w:tcMar>
              <w:top w:w="65" w:type="dxa"/>
              <w:left w:w="65" w:type="dxa"/>
              <w:bottom w:w="65" w:type="dxa"/>
              <w:right w:w="65" w:type="dxa"/>
            </w:tcMar>
          </w:tcPr>
          <w:p>
            <w:pPr>
              <w:spacing w:after="60" w:before="60"/>
            </w:pPr>
            <w:r>
              <w:rPr>
                <w:b w:val="0"/>
                <w:sz w:val="20"/>
              </w:rPr>
              <w:t>PETG Basic, grade to confirm</w:t>
            </w:r>
          </w:p>
        </w:tc>
        <w:tc>
          <w:tcPr>
            <w:tcW w:type="dxa" w:w="1656"/>
            <w:tcMar>
              <w:top w:w="65" w:type="dxa"/>
              <w:left w:w="65" w:type="dxa"/>
              <w:bottom w:w="65" w:type="dxa"/>
              <w:right w:w="65" w:type="dxa"/>
            </w:tcMar>
          </w:tcPr>
          <w:p>
            <w:pPr>
              <w:spacing w:after="60" w:before="60"/>
            </w:pPr>
            <w:r>
              <w:rPr>
                <w:b w:val="0"/>
                <w:sz w:val="20"/>
              </w:rPr>
              <w:t>To select</w:t>
            </w:r>
          </w:p>
        </w:tc>
        <w:tc>
          <w:tcPr>
            <w:tcW w:type="dxa" w:w="1584"/>
            <w:tcMar>
              <w:top w:w="65" w:type="dxa"/>
              <w:left w:w="65" w:type="dxa"/>
              <w:bottom w:w="65" w:type="dxa"/>
              <w:right w:w="65" w:type="dxa"/>
            </w:tcMar>
          </w:tcPr>
          <w:p>
            <w:pPr>
              <w:spacing w:after="60" w:before="60"/>
            </w:pPr>
            <w:r>
              <w:rPr>
                <w:b w:val="0"/>
                <w:sz w:val="20"/>
              </w:rPr>
              <w:t>To discuss, kg or spools</w:t>
            </w:r>
          </w:p>
        </w:tc>
        <w:tc>
          <w:tcPr>
            <w:tcW w:type="dxa" w:w="3024"/>
            <w:tcMar>
              <w:top w:w="65" w:type="dxa"/>
              <w:left w:w="65" w:type="dxa"/>
              <w:bottom w:w="65" w:type="dxa"/>
              <w:right w:w="65" w:type="dxa"/>
            </w:tcMar>
          </w:tcPr>
          <w:p>
            <w:pPr>
              <w:spacing w:after="60" w:before="60"/>
            </w:pPr>
            <w:r>
              <w:rPr>
                <w:b w:val="0"/>
                <w:sz w:val="20"/>
              </w:rPr>
              <w:t>To confirm for the order</w:t>
            </w:r>
          </w:p>
        </w:tc>
        <w:tc>
          <w:tcPr>
            <w:tcW w:type="dxa" w:w="1944"/>
            <w:tcMar>
              <w:top w:w="65" w:type="dxa"/>
              <w:left w:w="65" w:type="dxa"/>
              <w:bottom w:w="65" w:type="dxa"/>
              <w:right w:w="65" w:type="dxa"/>
            </w:tcMar>
          </w:tcPr>
          <w:p>
            <w:pPr>
              <w:spacing w:after="60" w:before="60"/>
            </w:pPr>
            <w:r>
              <w:rPr>
                <w:b w:val="0"/>
                <w:sz w:val="20"/>
              </w:rPr>
              <w:t>Intended functional part</w:t>
            </w:r>
          </w:p>
        </w:tc>
      </w:tr>
      <w:tr>
        <w:trPr>
          <w:cantSplit/>
        </w:trPr>
        <w:tc>
          <w:tcPr>
            <w:tcW w:type="dxa" w:w="1872"/>
            <w:tcMar>
              <w:top w:w="65" w:type="dxa"/>
              <w:left w:w="65" w:type="dxa"/>
              <w:bottom w:w="65" w:type="dxa"/>
              <w:right w:w="65" w:type="dxa"/>
            </w:tcMar>
          </w:tcPr>
          <w:p>
            <w:pPr>
              <w:spacing w:after="60" w:before="60"/>
            </w:pPr>
            <w:r>
              <w:rPr>
                <w:b w:val="0"/>
                <w:sz w:val="20"/>
              </w:rPr>
              <w:t>PLA Silk+, grade to confirm</w:t>
            </w:r>
          </w:p>
        </w:tc>
        <w:tc>
          <w:tcPr>
            <w:tcW w:type="dxa" w:w="1656"/>
            <w:tcMar>
              <w:top w:w="65" w:type="dxa"/>
              <w:left w:w="65" w:type="dxa"/>
              <w:bottom w:w="65" w:type="dxa"/>
              <w:right w:w="65" w:type="dxa"/>
            </w:tcMar>
          </w:tcPr>
          <w:p>
            <w:pPr>
              <w:spacing w:after="60" w:before="60"/>
            </w:pPr>
            <w:r>
              <w:rPr>
                <w:b w:val="0"/>
                <w:sz w:val="20"/>
              </w:rPr>
              <w:t>To select</w:t>
            </w:r>
          </w:p>
        </w:tc>
        <w:tc>
          <w:tcPr>
            <w:tcW w:type="dxa" w:w="1584"/>
            <w:tcMar>
              <w:top w:w="65" w:type="dxa"/>
              <w:left w:w="65" w:type="dxa"/>
              <w:bottom w:w="65" w:type="dxa"/>
              <w:right w:w="65" w:type="dxa"/>
            </w:tcMar>
          </w:tcPr>
          <w:p>
            <w:pPr>
              <w:spacing w:after="60" w:before="60"/>
            </w:pPr>
            <w:r>
              <w:rPr>
                <w:b w:val="0"/>
                <w:sz w:val="20"/>
              </w:rPr>
              <w:t>To discuss, kg or spools</w:t>
            </w:r>
          </w:p>
        </w:tc>
        <w:tc>
          <w:tcPr>
            <w:tcW w:type="dxa" w:w="3024"/>
            <w:tcMar>
              <w:top w:w="65" w:type="dxa"/>
              <w:left w:w="65" w:type="dxa"/>
              <w:bottom w:w="65" w:type="dxa"/>
              <w:right w:w="65" w:type="dxa"/>
            </w:tcMar>
          </w:tcPr>
          <w:p>
            <w:pPr>
              <w:spacing w:after="60" w:before="60"/>
            </w:pPr>
            <w:r>
              <w:rPr>
                <w:b w:val="0"/>
                <w:sz w:val="20"/>
              </w:rPr>
              <w:t>To confirm for the order</w:t>
            </w:r>
          </w:p>
        </w:tc>
        <w:tc>
          <w:tcPr>
            <w:tcW w:type="dxa" w:w="1944"/>
            <w:tcMar>
              <w:top w:w="65" w:type="dxa"/>
              <w:left w:w="65" w:type="dxa"/>
              <w:bottom w:w="65" w:type="dxa"/>
              <w:right w:w="65" w:type="dxa"/>
            </w:tcMar>
          </w:tcPr>
          <w:p>
            <w:pPr>
              <w:spacing w:after="60" w:before="60"/>
            </w:pPr>
            <w:r>
              <w:rPr>
                <w:b w:val="0"/>
                <w:sz w:val="20"/>
              </w:rPr>
              <w:t>Appearance on representative geometry</w:t>
            </w:r>
          </w:p>
        </w:tc>
      </w:tr>
    </w:tbl>
    <w:p>
      <w:pPr>
        <w:spacing w:after="20"/>
      </w:pPr>
    </w:p>
    <w:p>
      <w:pPr/>
      <w:r>
        <w:t>These are optional starting lines, not a fixed bundle. Add your destination country, sales channel and requested timing. If the range is undecided, describe the customers and printing work you serve.</w:t>
      </w:r>
    </w:p>
    <w:p>
      <w:pPr>
        <w:pStyle w:val="Heading2"/>
        <w:pageBreakBefore/>
      </w:pPr>
      <w:r>
        <w:t>Evaluate samples before confirming the range</w:t>
      </w:r>
    </w:p>
    <w:p>
      <w:pPr/>
      <w:r>
        <w:t>Agree the available sample grades and colors, purpose, costs and shipping arrangements before delivery is arranged. For each evaluated sample, retain its reference with your printer and nozzle, settings, representative part, observations and requested changes. Include any technical documents your market requires so their availability and scope can be checked for the selected grade.</w:t>
      </w:r>
    </w:p>
    <w:p>
      <w:pPr>
        <w:pStyle w:val="Heading2"/>
        <w:pageBreakBefore w:val="0"/>
      </w:pPr>
      <w:r>
        <w:t>Confirm the first order</w:t>
      </w:r>
    </w:p>
    <w:p>
      <w:pPr/>
      <w:r>
        <w:t>Compare the quotation with your product lines. Resolve the following before accepting the order:</w:t>
      </w:r>
    </w:p>
    <w:p>
      <w:pPr>
        <w:pStyle w:val="ListBullet"/>
      </w:pPr>
      <w:r>
        <w:t>Exact material, grade and color references, including any substitution.</w:t>
      </w:r>
    </w:p>
    <w:p>
      <w:pPr>
        <w:pStyle w:val="ListBullet"/>
      </w:pPr>
      <w:r>
        <w:t>Quantity and unit for each line, any minimum quantities and mixed-color conditions.</w:t>
      </w:r>
    </w:p>
    <w:p>
      <w:pPr>
        <w:pStyle w:val="ListBullet"/>
      </w:pPr>
      <w:r>
        <w:t>Spool, label, bag, box and outer-carton arrangement for the NOVTAU range.</w:t>
      </w:r>
    </w:p>
    <w:p>
      <w:pPr>
        <w:pStyle w:val="ListBullet"/>
      </w:pPr>
      <w:r>
        <w:t>Accepted sample references and any changes made after evaluation.</w:t>
      </w:r>
    </w:p>
    <w:p>
      <w:pPr>
        <w:pStyle w:val="ListBullet"/>
      </w:pPr>
      <w:r>
        <w:t>Pricing, destination, delivery arrangements, payment terms and agreed timing.</w:t>
      </w:r>
    </w:p>
    <w:p>
      <w:pPr>
        <w:pStyle w:val="Heading2"/>
        <w:pageBreakBefore w:val="0"/>
      </w:pPr>
      <w:r>
        <w:t>Prepare your sales channel</w:t>
      </w:r>
    </w:p>
    <w:p>
      <w:pPr/>
      <w:r>
        <w:t>Tell us which product images, descriptions, language versions and technical files your store or sales team needs. Request them for the grades you plan to carry, then confirm available files, versions and permission to publish. Discuss market or regional arrangements separately; distribution rights require their own agreement.</w:t>
      </w:r>
    </w:p>
    <w:p>
      <w:pPr>
        <w:pStyle w:val="Heading2"/>
        <w:pageBreakBefore w:val="0"/>
      </w:pPr>
      <w:r>
        <w:t>Replenish from the accepted order</w:t>
      </w:r>
    </w:p>
    <w:p>
      <w:pPr/>
      <w:r>
        <w:t>Send the previous product and packaging references with new quantities and requested timing. Mark new colors, substitutions or packaging changes separately. Compare the replenishment confirmation with the accepted references and check any changed commercial terms before accepting it.</w:t>
      </w:r>
    </w:p>
    <w:p>
      <w:pPr>
        <w:pStyle w:val="Heading2"/>
        <w:pageBreakBefore w:val="0"/>
      </w:pPr>
      <w:r>
        <w:t>Send your proposed assortment</w:t>
      </w:r>
    </w:p>
    <w:p>
      <w:pPr/>
      <w:r/>
      <w:hyperlink r:id="rId12">
        <w:r>
          <w:rPr>
            <w:color w:val="00552E"/>
          </w:rPr>
          <w:t>Discuss your opening order</w:t>
        </w:r>
      </w:hyperlink>
      <w:r/>
    </w:p>
    <w:p>
      <w:pPr/>
      <w:r>
        <w:t>Include your market and sales channel, material and color lines, quantities with units, packaging needs, sample objectives and destination. You can leave undecided items as “to discuss.”</w:t>
      </w:r>
    </w:p>
    <w:p>
      <w:pPr>
        <w:pStyle w:val="Heading2"/>
        <w:pageBreakBefore/>
      </w:pPr>
      <w:r>
        <w:t>Sample evaluation worksheet</w:t>
      </w:r>
    </w:p>
    <w:p>
      <w:pPr/>
      <w:r>
        <w:t>Copy this page for each material and color. Agree sample availability, scope, costs and delivery before arranging evaluation. Record observations against your own acceptance criteria; this worksheet does not certify product performance.</w:t>
      </w: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Sample identity</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Company and evaluator</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Material and exact grade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Color and sample reference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Date and intended application</w:t>
            </w:r>
          </w:p>
        </w:tc>
        <w:tc>
          <w:tcPr>
            <w:tcW w:type="dxa" w:w="6840"/>
            <w:tcMar>
              <w:top w:w="65" w:type="dxa"/>
              <w:left w:w="65" w:type="dxa"/>
              <w:bottom w:w="65" w:type="dxa"/>
              <w:right w:w="65" w:type="dxa"/>
            </w:tcMar>
          </w:tcPr>
          <w:p>
            <w:pPr>
              <w:spacing w:after="60" w:before="60"/>
            </w:pPr>
            <w:r>
              <w:rPr>
                <w:b w:val="0"/>
                <w:sz w:val="20"/>
              </w:rPr>
            </w:r>
          </w:p>
        </w:tc>
      </w:tr>
    </w:tbl>
    <w:p>
      <w:pPr>
        <w:spacing w:after="20"/>
      </w:pP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Test setup</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Printer and nozzle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Settings and material handling</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Representative part or file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Acceptance criteria</w:t>
            </w:r>
          </w:p>
        </w:tc>
        <w:tc>
          <w:tcPr>
            <w:tcW w:type="dxa" w:w="6840"/>
            <w:tcMar>
              <w:top w:w="65" w:type="dxa"/>
              <w:left w:w="65" w:type="dxa"/>
              <w:bottom w:w="65" w:type="dxa"/>
              <w:right w:w="65" w:type="dxa"/>
            </w:tcMar>
          </w:tcPr>
          <w:p>
            <w:pPr>
              <w:spacing w:after="60" w:before="60"/>
            </w:pPr>
            <w:r>
              <w:rPr>
                <w:b w:val="0"/>
                <w:sz w:val="20"/>
              </w:rPr>
            </w:r>
          </w:p>
        </w:tc>
      </w:tr>
    </w:tbl>
    <w:p>
      <w:pPr>
        <w:spacing w:after="20"/>
      </w:pPr>
    </w:p>
    <w:tbl>
      <w:tblPr>
        <w:tblW w:type="auto" w:w="0"/>
        <w:tblLayout w:type="fixed"/>
        <w:tblLook w:firstColumn="1" w:firstRow="1" w:lastColumn="0" w:lastRow="0" w:noHBand="0" w:noVBand="1" w:val="04A0"/>
      </w:tblPr>
      <w:tblGrid>
        <w:gridCol w:w="3240"/>
        <w:gridCol w:w="6840"/>
      </w:tblGrid>
      <w:tr>
        <w:trPr>
          <w:cantSplit/>
          <w:tblHeader/>
        </w:trPr>
        <w:tc>
          <w:tcPr>
            <w:tcW w:type="dxa" w:w="3240"/>
            <w:tcMar>
              <w:top w:w="65" w:type="dxa"/>
              <w:left w:w="65" w:type="dxa"/>
              <w:bottom w:w="65" w:type="dxa"/>
              <w:right w:w="65" w:type="dxa"/>
            </w:tcMar>
            <w:shd w:fill="E8EFEB"/>
          </w:tcPr>
          <w:p>
            <w:pPr>
              <w:spacing w:after="60" w:before="60"/>
            </w:pPr>
            <w:r>
              <w:rPr>
                <w:b/>
                <w:sz w:val="20"/>
              </w:rPr>
              <w:t>Evaluation and next action</w:t>
            </w:r>
          </w:p>
        </w:tc>
        <w:tc>
          <w:tcPr>
            <w:tcW w:type="dxa" w:w="6840"/>
            <w:tcMar>
              <w:top w:w="65" w:type="dxa"/>
              <w:left w:w="65" w:type="dxa"/>
              <w:bottom w:w="65" w:type="dxa"/>
              <w:right w:w="65" w:type="dxa"/>
            </w:tcMar>
            <w:shd w:fill="E8EFEB"/>
          </w:tcPr>
          <w:p>
            <w:pPr>
              <w:spacing w:after="60" w:before="60"/>
            </w:pPr>
            <w:r>
              <w:rPr>
                <w:b/>
                <w:sz w:val="20"/>
              </w:rPr>
              <w:t>Your record</w:t>
            </w:r>
          </w:p>
        </w:tc>
      </w:tr>
      <w:tr>
        <w:trPr>
          <w:cantSplit/>
        </w:trPr>
        <w:tc>
          <w:tcPr>
            <w:tcW w:type="dxa" w:w="3240"/>
            <w:tcMar>
              <w:top w:w="65" w:type="dxa"/>
              <w:left w:w="65" w:type="dxa"/>
              <w:bottom w:w="65" w:type="dxa"/>
              <w:right w:w="65" w:type="dxa"/>
            </w:tcMar>
          </w:tcPr>
          <w:p>
            <w:pPr>
              <w:spacing w:after="60" w:before="60"/>
            </w:pPr>
            <w:r>
              <w:rPr>
                <w:b w:val="0"/>
                <w:sz w:val="20"/>
              </w:rPr>
              <w:t>Material result and part fit</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Color and finish observations</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Spool and packaging checks</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Artwork version if applicable</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Requested changes or retest</w:t>
            </w:r>
          </w:p>
        </w:tc>
        <w:tc>
          <w:tcPr>
            <w:tcW w:type="dxa" w:w="6840"/>
            <w:tcMar>
              <w:top w:w="65" w:type="dxa"/>
              <w:left w:w="65" w:type="dxa"/>
              <w:bottom w:w="65" w:type="dxa"/>
              <w:right w:w="65" w:type="dxa"/>
            </w:tcMar>
          </w:tcPr>
          <w:p>
            <w:pPr>
              <w:spacing w:after="60" w:before="60"/>
            </w:pPr>
            <w:r>
              <w:rPr>
                <w:b w:val="0"/>
                <w:sz w:val="20"/>
              </w:rPr>
            </w:r>
          </w:p>
        </w:tc>
      </w:tr>
      <w:tr>
        <w:trPr>
          <w:cantSplit/>
        </w:trPr>
        <w:tc>
          <w:tcPr>
            <w:tcW w:type="dxa" w:w="3240"/>
            <w:tcMar>
              <w:top w:w="65" w:type="dxa"/>
              <w:left w:w="65" w:type="dxa"/>
              <w:bottom w:w="65" w:type="dxa"/>
              <w:right w:w="65" w:type="dxa"/>
            </w:tcMar>
          </w:tcPr>
          <w:p>
            <w:pPr>
              <w:spacing w:after="60" w:before="60"/>
            </w:pPr>
            <w:r>
              <w:rPr>
                <w:b w:val="0"/>
                <w:sz w:val="20"/>
              </w:rPr>
              <w:t>Decision, approver and date</w:t>
            </w:r>
          </w:p>
        </w:tc>
        <w:tc>
          <w:tcPr>
            <w:tcW w:type="dxa" w:w="6840"/>
            <w:tcMar>
              <w:top w:w="65" w:type="dxa"/>
              <w:left w:w="65" w:type="dxa"/>
              <w:bottom w:w="65" w:type="dxa"/>
              <w:right w:w="65" w:type="dxa"/>
            </w:tcMar>
          </w:tcPr>
          <w:p>
            <w:pPr>
              <w:spacing w:after="60" w:before="60"/>
            </w:pPr>
            <w:r>
              <w:rPr>
                <w:b w:val="0"/>
                <w:sz w:val="20"/>
              </w:rPr>
            </w:r>
          </w:p>
        </w:tc>
      </w:tr>
    </w:tbl>
    <w:p>
      <w:pPr>
        <w:spacing w:after="20"/>
      </w:pPr>
    </w:p>
    <w:p>
      <w:pPr/>
      <w:r>
        <w:t>Keep photographs and applicable document references with this record. Confirm the accepted sample and any revised artwork in the order confirmation.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NOVTAU  |  September 21,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NOVTAU   /   COOPERATION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ovtau.com/filaments" TargetMode="External"/><Relationship Id="rId12" Type="http://schemas.openxmlformats.org/officeDocument/2006/relationships/hyperlink" Target="https://novtau.com/request-quote?businessGoal=novtau_wholesale&amp;buyer=distributor&amp;requestKind=quote&amp;sourcePage=%2Fdistrib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